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FD7" w:rsidRPr="00A14FD7" w:rsidRDefault="00A14FD7" w:rsidP="00A14FD7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A14FD7" w:rsidRPr="00A14FD7" w:rsidRDefault="00A14FD7" w:rsidP="00A14FD7">
      <w:pPr>
        <w:widowControl w:val="0"/>
        <w:tabs>
          <w:tab w:val="left" w:pos="375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b/>
          <w:sz w:val="28"/>
          <w:lang w:eastAsia="ru-RU" w:bidi="ru-RU"/>
        </w:rPr>
        <w:t xml:space="preserve">Лекция </w:t>
      </w:r>
      <w:r>
        <w:rPr>
          <w:rFonts w:ascii="Times New Roman" w:eastAsia="Times New Roman" w:hAnsi="Times New Roman" w:cs="Times New Roman"/>
          <w:b/>
          <w:sz w:val="28"/>
          <w:lang w:eastAsia="ru-RU" w:bidi="ru-RU"/>
        </w:rPr>
        <w:t>9</w:t>
      </w:r>
      <w:r w:rsidRPr="00A14FD7">
        <w:rPr>
          <w:rFonts w:ascii="Times New Roman" w:eastAsia="Times New Roman" w:hAnsi="Times New Roman" w:cs="Times New Roman"/>
          <w:b/>
          <w:sz w:val="28"/>
          <w:lang w:eastAsia="ru-RU" w:bidi="ru-RU"/>
        </w:rPr>
        <w:t xml:space="preserve">. </w:t>
      </w:r>
      <w:bookmarkStart w:id="0" w:name="_GoBack"/>
      <w:r w:rsidRPr="00A14FD7">
        <w:rPr>
          <w:rFonts w:ascii="Times New Roman" w:eastAsia="Times New Roman" w:hAnsi="Times New Roman" w:cs="Times New Roman"/>
          <w:b/>
          <w:sz w:val="28"/>
          <w:lang w:eastAsia="ru-RU" w:bidi="ru-RU"/>
        </w:rPr>
        <w:t>Электронные схемы их графическое оформление.</w:t>
      </w:r>
    </w:p>
    <w:p w:rsidR="00A14FD7" w:rsidRPr="00A14FD7" w:rsidRDefault="00A14FD7" w:rsidP="00A14FD7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A14FD7" w:rsidRPr="00A14FD7" w:rsidRDefault="00A14FD7" w:rsidP="00A14FD7">
      <w:pPr>
        <w:widowControl w:val="0"/>
        <w:numPr>
          <w:ilvl w:val="3"/>
          <w:numId w:val="1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sz w:val="28"/>
          <w:lang w:eastAsia="ru-RU" w:bidi="ru-RU"/>
        </w:rPr>
        <w:t>Структурные</w:t>
      </w:r>
      <w:r w:rsidRPr="00A14FD7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A14FD7">
        <w:rPr>
          <w:rFonts w:ascii="Times New Roman" w:eastAsia="Times New Roman" w:hAnsi="Times New Roman" w:cs="Times New Roman"/>
          <w:sz w:val="28"/>
          <w:lang w:eastAsia="ru-RU" w:bidi="ru-RU"/>
        </w:rPr>
        <w:t>схемы</w:t>
      </w:r>
      <w:r w:rsidRPr="00A14FD7">
        <w:rPr>
          <w:rFonts w:ascii="Times New Roman" w:eastAsia="Times New Roman" w:hAnsi="Times New Roman" w:cs="Times New Roman"/>
          <w:lang w:eastAsia="ru-RU" w:bidi="ru-RU"/>
        </w:rPr>
        <w:t xml:space="preserve"> </w:t>
      </w:r>
    </w:p>
    <w:p w:rsidR="00A14FD7" w:rsidRPr="00A14FD7" w:rsidRDefault="00A14FD7" w:rsidP="00A14FD7">
      <w:pPr>
        <w:widowControl w:val="0"/>
        <w:numPr>
          <w:ilvl w:val="3"/>
          <w:numId w:val="1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sz w:val="28"/>
          <w:lang w:eastAsia="ru-RU" w:bidi="ru-RU"/>
        </w:rPr>
        <w:t>Функциональные схемы</w:t>
      </w:r>
    </w:p>
    <w:p w:rsidR="00A14FD7" w:rsidRPr="00A14FD7" w:rsidRDefault="00A14FD7" w:rsidP="00A14FD7">
      <w:pPr>
        <w:widowControl w:val="0"/>
        <w:numPr>
          <w:ilvl w:val="3"/>
          <w:numId w:val="1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sz w:val="28"/>
          <w:lang w:eastAsia="ru-RU" w:bidi="ru-RU"/>
        </w:rPr>
        <w:t>Принципиальные схемы</w:t>
      </w:r>
    </w:p>
    <w:bookmarkEnd w:id="0"/>
    <w:p w:rsidR="00A14FD7" w:rsidRPr="00A14FD7" w:rsidRDefault="00A14FD7" w:rsidP="00A14FD7">
      <w:pPr>
        <w:widowControl w:val="0"/>
        <w:tabs>
          <w:tab w:val="left" w:pos="4391"/>
        </w:tabs>
        <w:autoSpaceDE w:val="0"/>
        <w:autoSpaceDN w:val="0"/>
        <w:spacing w:before="1" w:after="0" w:line="240" w:lineRule="auto"/>
        <w:ind w:left="4390"/>
        <w:rPr>
          <w:rFonts w:ascii="Times New Roman" w:eastAsia="Times New Roman" w:hAnsi="Times New Roman" w:cs="Times New Roman"/>
          <w:sz w:val="28"/>
          <w:lang w:eastAsia="ru-RU" w:bidi="ru-RU"/>
        </w:rPr>
      </w:pPr>
    </w:p>
    <w:p w:rsidR="00A14FD7" w:rsidRPr="00A14FD7" w:rsidRDefault="00A14FD7" w:rsidP="00A14FD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A14FD7" w:rsidRPr="00A14FD7" w:rsidRDefault="00A14FD7" w:rsidP="00A14FD7">
      <w:pPr>
        <w:widowControl w:val="0"/>
        <w:autoSpaceDE w:val="0"/>
        <w:autoSpaceDN w:val="0"/>
        <w:spacing w:after="0" w:line="240" w:lineRule="auto"/>
        <w:ind w:left="533" w:right="250" w:firstLine="51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структурной схеме изображают все основные функциональные части изделия (элементы, устройства и функциональные группы) и основные взаимосвязи между ними. Функциональные части показывают в виде прямоугольников или условных графических обозначений.</w:t>
      </w:r>
    </w:p>
    <w:p w:rsidR="00A14FD7" w:rsidRPr="00A14FD7" w:rsidRDefault="00A14FD7" w:rsidP="00A14FD7">
      <w:pPr>
        <w:widowControl w:val="0"/>
        <w:autoSpaceDE w:val="0"/>
        <w:autoSpaceDN w:val="0"/>
        <w:spacing w:after="0" w:line="240" w:lineRule="auto"/>
        <w:ind w:left="533" w:right="248" w:firstLine="51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Построение схемы должно давать наиболее наглядное представление . о последовательности взаимодействия функциональных частей в изделии. На линиях взаимосвязей рекомендуется стрелками обозначать направление хода процессов, происходящих в изделии.</w:t>
      </w:r>
    </w:p>
    <w:p w:rsidR="00A14FD7" w:rsidRPr="00A14FD7" w:rsidRDefault="00A14FD7" w:rsidP="00A14FD7">
      <w:pPr>
        <w:widowControl w:val="0"/>
        <w:autoSpaceDE w:val="0"/>
        <w:autoSpaceDN w:val="0"/>
        <w:spacing w:after="0" w:line="240" w:lineRule="auto"/>
        <w:ind w:left="534" w:right="248" w:firstLine="51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изображении функциональных частей в виде прямоугольников наименования, типы и обозначения рекомендуется вписывать внутрь прямоугольников.</w:t>
      </w:r>
    </w:p>
    <w:p w:rsidR="00A14FD7" w:rsidRPr="00A14FD7" w:rsidRDefault="00A14FD7" w:rsidP="00A14FD7">
      <w:pPr>
        <w:widowControl w:val="0"/>
        <w:autoSpaceDE w:val="0"/>
        <w:autoSpaceDN w:val="0"/>
        <w:spacing w:after="0" w:line="240" w:lineRule="auto"/>
        <w:ind w:left="533" w:right="248" w:firstLine="51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большом числе функциональных частей допускается взамен наименований, типов и обозначений проставлять порядковые номера справа от изображения или над ним, как правило, сверху вниз в направлении слева направо. В этом случае наименования, типы и обозначения указывают в таблице, помещаемой на поле схемы.</w:t>
      </w:r>
    </w:p>
    <w:p w:rsidR="00A14FD7" w:rsidRPr="00A14FD7" w:rsidRDefault="00A14FD7" w:rsidP="00A14FD7">
      <w:pPr>
        <w:widowControl w:val="0"/>
        <w:autoSpaceDE w:val="0"/>
        <w:autoSpaceDN w:val="0"/>
        <w:spacing w:after="0" w:line="240" w:lineRule="auto"/>
        <w:ind w:left="533" w:right="249" w:firstLine="51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Допускается помещать на схеме поясняющие надписи, диаграммы или таблицы, определяющие последовательность процессов во времени, а также указывать параметры в характерных точках (токи, напряжения, математические зависимости и т,п.).</w:t>
      </w:r>
    </w:p>
    <w:p w:rsidR="00A14FD7" w:rsidRPr="00A14FD7" w:rsidRDefault="00A14FD7" w:rsidP="00A14FD7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A14FD7" w:rsidRPr="00A14FD7" w:rsidRDefault="00A14FD7" w:rsidP="00A14FD7">
      <w:pPr>
        <w:widowControl w:val="0"/>
        <w:numPr>
          <w:ilvl w:val="3"/>
          <w:numId w:val="1"/>
        </w:numPr>
        <w:tabs>
          <w:tab w:val="left" w:pos="4140"/>
        </w:tabs>
        <w:autoSpaceDE w:val="0"/>
        <w:autoSpaceDN w:val="0"/>
        <w:spacing w:after="0" w:line="240" w:lineRule="auto"/>
        <w:ind w:left="4139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sz w:val="28"/>
          <w:lang w:eastAsia="ru-RU" w:bidi="ru-RU"/>
        </w:rPr>
        <w:t>Функциональные</w:t>
      </w:r>
      <w:r w:rsidRPr="00A14FD7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A14FD7">
        <w:rPr>
          <w:rFonts w:ascii="Times New Roman" w:eastAsia="Times New Roman" w:hAnsi="Times New Roman" w:cs="Times New Roman"/>
          <w:sz w:val="28"/>
          <w:lang w:eastAsia="ru-RU" w:bidi="ru-RU"/>
        </w:rPr>
        <w:t>схемы</w:t>
      </w:r>
    </w:p>
    <w:p w:rsidR="00A14FD7" w:rsidRPr="00A14FD7" w:rsidRDefault="00A14FD7" w:rsidP="00A14FD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A14FD7" w:rsidRPr="00A14FD7" w:rsidRDefault="00A14FD7" w:rsidP="00A14FD7">
      <w:pPr>
        <w:widowControl w:val="0"/>
        <w:autoSpaceDE w:val="0"/>
        <w:autoSpaceDN w:val="0"/>
        <w:spacing w:after="0" w:line="240" w:lineRule="auto"/>
        <w:ind w:left="533" w:right="248" w:firstLine="52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функциональной схеме изображают функциональные части изделия (элементы, устройства и функциональные группы), участвующие в процессе, иллюстрируемом схемой, и связи между этими частями,  Функциональные части и связи между ними изображают в виде условных графических обозначений, установленных в стандартах. На схеме указывают позиционное обозначение и наименование; если изображение выполнено в виде условного графического обозначения, то наименование не</w:t>
      </w:r>
      <w:r w:rsidRPr="00A14FD7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 </w:t>
      </w:r>
      <w:r w:rsidRPr="00A14FD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указывают,</w:t>
      </w:r>
    </w:p>
    <w:p w:rsidR="00A14FD7" w:rsidRPr="00A14FD7" w:rsidRDefault="00A14FD7" w:rsidP="00A14FD7">
      <w:pPr>
        <w:widowControl w:val="0"/>
        <w:autoSpaceDE w:val="0"/>
        <w:autoSpaceDN w:val="0"/>
        <w:spacing w:after="0" w:line="240" w:lineRule="auto"/>
        <w:ind w:left="533" w:right="248" w:firstLine="52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Рекомендуется указывать технические характеристики рядом с графическими обозначениями или на свободном поле схемы, а также помещать поясняющие надписи, диаграммы или таблицы, определяющие</w:t>
      </w:r>
    </w:p>
    <w:p w:rsidR="00A14FD7" w:rsidRPr="00A14FD7" w:rsidRDefault="00A14FD7" w:rsidP="00A14FD7">
      <w:pPr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A14FD7" w:rsidRPr="00A14FD7">
          <w:pgSz w:w="11910" w:h="16840"/>
          <w:pgMar w:top="1060" w:right="880" w:bottom="1680" w:left="600" w:header="0" w:footer="1415" w:gutter="0"/>
          <w:cols w:space="720"/>
        </w:sectPr>
      </w:pPr>
    </w:p>
    <w:p w:rsidR="00A14FD7" w:rsidRPr="00A14FD7" w:rsidRDefault="00A14FD7" w:rsidP="00A14FD7">
      <w:pPr>
        <w:widowControl w:val="0"/>
        <w:autoSpaceDE w:val="0"/>
        <w:autoSpaceDN w:val="0"/>
        <w:spacing w:before="70" w:after="0" w:line="240" w:lineRule="auto"/>
        <w:ind w:left="534" w:hanging="1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последовательность процессов во времени, а также указывать параметры в характерных точках.</w:t>
      </w:r>
    </w:p>
    <w:p w:rsidR="00A14FD7" w:rsidRPr="00A14FD7" w:rsidRDefault="00A14FD7" w:rsidP="00A14FD7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6"/>
          <w:szCs w:val="28"/>
          <w:lang w:eastAsia="ru-RU" w:bidi="ru-RU"/>
        </w:rPr>
      </w:pPr>
    </w:p>
    <w:p w:rsidR="00A14FD7" w:rsidRPr="00A14FD7" w:rsidRDefault="00A14FD7" w:rsidP="00A14FD7">
      <w:pPr>
        <w:widowControl w:val="0"/>
        <w:numPr>
          <w:ilvl w:val="3"/>
          <w:numId w:val="1"/>
        </w:numPr>
        <w:tabs>
          <w:tab w:val="left" w:pos="4138"/>
        </w:tabs>
        <w:autoSpaceDE w:val="0"/>
        <w:autoSpaceDN w:val="0"/>
        <w:spacing w:before="88" w:after="0" w:line="240" w:lineRule="auto"/>
        <w:ind w:left="413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sz w:val="28"/>
          <w:lang w:eastAsia="ru-RU" w:bidi="ru-RU"/>
        </w:rPr>
        <w:t>Принципиальные</w:t>
      </w:r>
      <w:r w:rsidRPr="00A14FD7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A14FD7">
        <w:rPr>
          <w:rFonts w:ascii="Times New Roman" w:eastAsia="Times New Roman" w:hAnsi="Times New Roman" w:cs="Times New Roman"/>
          <w:sz w:val="28"/>
          <w:lang w:eastAsia="ru-RU" w:bidi="ru-RU"/>
        </w:rPr>
        <w:t>схемы</w:t>
      </w:r>
    </w:p>
    <w:p w:rsidR="00A14FD7" w:rsidRPr="00A14FD7" w:rsidRDefault="00A14FD7" w:rsidP="00A14FD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2"/>
          <w:szCs w:val="28"/>
          <w:lang w:eastAsia="ru-RU" w:bidi="ru-RU"/>
        </w:rPr>
      </w:pPr>
    </w:p>
    <w:p w:rsidR="00A14FD7" w:rsidRPr="00A14FD7" w:rsidRDefault="00A14FD7" w:rsidP="00A14FD7">
      <w:pPr>
        <w:widowControl w:val="0"/>
        <w:autoSpaceDE w:val="0"/>
        <w:autoSpaceDN w:val="0"/>
        <w:spacing w:after="0" w:line="240" w:lineRule="auto"/>
        <w:ind w:left="533" w:right="249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принципиальной схеме изображают все электрические элементы или устройства, необходимые для осуществления и контроля в изделии заданных электрических процессов, все электрические связи между ними, а также электрические элементы (соединители, зажимы и т.п.), которыми заканчиваются входные и выходные цепи. Принципиальная схема, как правило, дает детальное представление о принципах работы</w:t>
      </w:r>
      <w:r w:rsidRPr="00A14FD7">
        <w:rPr>
          <w:rFonts w:ascii="Times New Roman" w:eastAsia="Times New Roman" w:hAnsi="Times New Roman" w:cs="Times New Roman"/>
          <w:spacing w:val="-6"/>
          <w:sz w:val="28"/>
          <w:szCs w:val="28"/>
          <w:lang w:eastAsia="ru-RU" w:bidi="ru-RU"/>
        </w:rPr>
        <w:t xml:space="preserve"> </w:t>
      </w:r>
      <w:r w:rsidRPr="00A14FD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изделия.</w:t>
      </w:r>
    </w:p>
    <w:p w:rsidR="00A14FD7" w:rsidRPr="00A14FD7" w:rsidRDefault="00A14FD7" w:rsidP="00A14FD7">
      <w:pPr>
        <w:widowControl w:val="0"/>
        <w:autoSpaceDE w:val="0"/>
        <w:autoSpaceDN w:val="0"/>
        <w:spacing w:after="0" w:line="240" w:lineRule="auto"/>
        <w:ind w:left="533" w:right="247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Принципиальные схемы служат основанием для разработки других конструкторских документов, например, схем соединений и чертежей; их используют для изучения принципов работы изделий, а также при их наладке, контроле, ремонте. Поэтому электрическая принципиальная схема должна быть максимально наглядной, удобной для чтения, отображать развитие рабочего процесса в изделии.</w:t>
      </w:r>
    </w:p>
    <w:p w:rsidR="00A14FD7" w:rsidRPr="00A14FD7" w:rsidRDefault="00A14FD7" w:rsidP="00A14FD7">
      <w:pPr>
        <w:widowControl w:val="0"/>
        <w:autoSpaceDE w:val="0"/>
        <w:autoSpaceDN w:val="0"/>
        <w:spacing w:after="0" w:line="240" w:lineRule="auto"/>
        <w:ind w:left="533" w:right="249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Схемы выполняют для изделий, находящихся в отключенном состоянии. Элементы изделия на схеме вычерчивают в виде условных графических изображений, установленных в стандартах ЕСКД (см. раздел 3.3.),</w:t>
      </w:r>
    </w:p>
    <w:p w:rsidR="00A14FD7" w:rsidRPr="00A14FD7" w:rsidRDefault="00A14FD7" w:rsidP="00A14FD7">
      <w:pPr>
        <w:widowControl w:val="0"/>
        <w:autoSpaceDE w:val="0"/>
        <w:autoSpaceDN w:val="0"/>
        <w:spacing w:after="0" w:line="240" w:lineRule="auto"/>
        <w:ind w:left="534" w:right="249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Линии электрической связи (см. раздел 3.2.) на принципиальной схеме носят условный характер и не являются изображением реальных проводов. Это позволяет располагать условные графические изображения элементов в соответствии с развитием рабочего процесса, а не в соответствии с действительным расположением этих элементов в изделии, и соединять их выводы кратчайшим путем.</w:t>
      </w:r>
    </w:p>
    <w:p w:rsidR="00A14FD7" w:rsidRPr="00A14FD7" w:rsidRDefault="00A14FD7" w:rsidP="00A14FD7">
      <w:pPr>
        <w:widowControl w:val="0"/>
        <w:autoSpaceDE w:val="0"/>
        <w:autoSpaceDN w:val="0"/>
        <w:spacing w:after="0" w:line="240" w:lineRule="auto"/>
        <w:ind w:left="533" w:right="248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принципиальной схеме должны быть однозначно определены все элементы, входящие в состав изделия и изображенные на схеме. Данные об элементах должны быть записаны в перечень элементов (см. раздел 3,5,). При этом связь перечня с условными графическими обозначениями элементов лолжна осуществляться через позиционные обозначения (см. раздел 3.4.).</w:t>
      </w:r>
    </w:p>
    <w:p w:rsidR="00A14FD7" w:rsidRPr="00A14FD7" w:rsidRDefault="00A14FD7" w:rsidP="00A14FD7">
      <w:pPr>
        <w:widowControl w:val="0"/>
        <w:autoSpaceDE w:val="0"/>
        <w:autoSpaceDN w:val="0"/>
        <w:spacing w:after="0" w:line="240" w:lineRule="auto"/>
        <w:ind w:left="533" w:right="249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схеме следует указывать обозначения выводов (контактов) элементов, нанесенные на изделие, Характеристики входных и выходных цепей изделия, а также адреса их внешних подключений рекомендуется записывать в таблицы, помещаемые взамен условных графических обозначений входных и выходных элементов — соединителей, плат и т.д.</w:t>
      </w:r>
    </w:p>
    <w:p w:rsidR="00A14FD7" w:rsidRPr="00A14FD7" w:rsidRDefault="00A14FD7" w:rsidP="00A14FD7">
      <w:pPr>
        <w:widowControl w:val="0"/>
        <w:autoSpaceDE w:val="0"/>
        <w:autoSpaceDN w:val="0"/>
        <w:spacing w:after="0" w:line="240" w:lineRule="auto"/>
        <w:ind w:left="533" w:right="249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Каждой таблице присваивают позиционное обозначение того элемента, взамен условного графического обозначения которого она помещена. Над таблицей допускается показывать условное графическое обозначение контакта</w:t>
      </w:r>
    </w:p>
    <w:p w:rsidR="00A14FD7" w:rsidRPr="00A14FD7" w:rsidRDefault="00A14FD7" w:rsidP="00A14FD7">
      <w:pPr>
        <w:widowControl w:val="0"/>
        <w:autoSpaceDE w:val="0"/>
        <w:autoSpaceDN w:val="0"/>
        <w:spacing w:after="0" w:line="240" w:lineRule="auto"/>
        <w:ind w:left="533" w:right="250" w:hanging="1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14FD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— гнезда или штыря. Таблицы допускается выполнять разнесенным способом. Допускается помещать таблицы с характеристиками цепей при наличии на схеме условных графических обозначений входных и иыходных элементов.</w:t>
      </w:r>
    </w:p>
    <w:p w:rsidR="00007597" w:rsidRPr="00A14FD7" w:rsidRDefault="00A14FD7" w:rsidP="00A14FD7"/>
    <w:sectPr w:rsidR="00007597" w:rsidRPr="00A14F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B0E25"/>
    <w:multiLevelType w:val="multilevel"/>
    <w:tmpl w:val="88B630D8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262F1A33"/>
    <w:multiLevelType w:val="hybridMultilevel"/>
    <w:tmpl w:val="A002F6A4"/>
    <w:lvl w:ilvl="0" w:tplc="83BAF4BC">
      <w:start w:val="18"/>
      <w:numFmt w:val="upperLetter"/>
      <w:lvlText w:val="%1)"/>
      <w:lvlJc w:val="left"/>
      <w:pPr>
        <w:ind w:left="533" w:hanging="39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B4A8CD4">
      <w:numFmt w:val="bullet"/>
      <w:lvlText w:val=""/>
      <w:lvlJc w:val="left"/>
      <w:pPr>
        <w:ind w:left="818" w:hanging="632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2" w:tplc="2828D7A0">
      <w:numFmt w:val="bullet"/>
      <w:lvlText w:val="•"/>
      <w:lvlJc w:val="left"/>
      <w:pPr>
        <w:ind w:left="1887" w:hanging="632"/>
      </w:pPr>
      <w:rPr>
        <w:lang w:val="ru-RU" w:eastAsia="ru-RU" w:bidi="ru-RU"/>
      </w:rPr>
    </w:lvl>
    <w:lvl w:ilvl="3" w:tplc="8ED2B9A4">
      <w:numFmt w:val="bullet"/>
      <w:lvlText w:val="•"/>
      <w:lvlJc w:val="left"/>
      <w:pPr>
        <w:ind w:left="2954" w:hanging="632"/>
      </w:pPr>
      <w:rPr>
        <w:lang w:val="ru-RU" w:eastAsia="ru-RU" w:bidi="ru-RU"/>
      </w:rPr>
    </w:lvl>
    <w:lvl w:ilvl="4" w:tplc="4E5ECEEE">
      <w:numFmt w:val="bullet"/>
      <w:lvlText w:val="•"/>
      <w:lvlJc w:val="left"/>
      <w:pPr>
        <w:ind w:left="4021" w:hanging="632"/>
      </w:pPr>
      <w:rPr>
        <w:lang w:val="ru-RU" w:eastAsia="ru-RU" w:bidi="ru-RU"/>
      </w:rPr>
    </w:lvl>
    <w:lvl w:ilvl="5" w:tplc="2FCE818E">
      <w:numFmt w:val="bullet"/>
      <w:lvlText w:val="•"/>
      <w:lvlJc w:val="left"/>
      <w:pPr>
        <w:ind w:left="5088" w:hanging="632"/>
      </w:pPr>
      <w:rPr>
        <w:lang w:val="ru-RU" w:eastAsia="ru-RU" w:bidi="ru-RU"/>
      </w:rPr>
    </w:lvl>
    <w:lvl w:ilvl="6" w:tplc="94424B6E">
      <w:numFmt w:val="bullet"/>
      <w:lvlText w:val="•"/>
      <w:lvlJc w:val="left"/>
      <w:pPr>
        <w:ind w:left="6155" w:hanging="632"/>
      </w:pPr>
      <w:rPr>
        <w:lang w:val="ru-RU" w:eastAsia="ru-RU" w:bidi="ru-RU"/>
      </w:rPr>
    </w:lvl>
    <w:lvl w:ilvl="7" w:tplc="3784476A">
      <w:numFmt w:val="bullet"/>
      <w:lvlText w:val="•"/>
      <w:lvlJc w:val="left"/>
      <w:pPr>
        <w:ind w:left="7222" w:hanging="632"/>
      </w:pPr>
      <w:rPr>
        <w:lang w:val="ru-RU" w:eastAsia="ru-RU" w:bidi="ru-RU"/>
      </w:rPr>
    </w:lvl>
    <w:lvl w:ilvl="8" w:tplc="3F9EDE48">
      <w:numFmt w:val="bullet"/>
      <w:lvlText w:val="•"/>
      <w:lvlJc w:val="left"/>
      <w:pPr>
        <w:ind w:left="8290" w:hanging="632"/>
      </w:pPr>
      <w:rPr>
        <w:lang w:val="ru-RU" w:eastAsia="ru-RU" w:bidi="ru-RU"/>
      </w:rPr>
    </w:lvl>
  </w:abstractNum>
  <w:abstractNum w:abstractNumId="2">
    <w:nsid w:val="64001BE4"/>
    <w:multiLevelType w:val="hybridMultilevel"/>
    <w:tmpl w:val="7650594E"/>
    <w:lvl w:ilvl="0" w:tplc="A1FE0D68">
      <w:numFmt w:val="bullet"/>
      <w:lvlText w:val="-"/>
      <w:lvlJc w:val="left"/>
      <w:pPr>
        <w:ind w:left="533" w:hanging="23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C5EEC6E">
      <w:numFmt w:val="bullet"/>
      <w:lvlText w:val=""/>
      <w:lvlJc w:val="left"/>
      <w:pPr>
        <w:ind w:left="533" w:hanging="141"/>
      </w:pPr>
      <w:rPr>
        <w:rFonts w:ascii="Symbol" w:eastAsia="Symbol" w:hAnsi="Symbol" w:cs="Symbol" w:hint="default"/>
        <w:spacing w:val="11"/>
        <w:w w:val="99"/>
        <w:sz w:val="26"/>
        <w:szCs w:val="26"/>
        <w:lang w:val="ru-RU" w:eastAsia="ru-RU" w:bidi="ru-RU"/>
      </w:rPr>
    </w:lvl>
    <w:lvl w:ilvl="2" w:tplc="ED30FE38">
      <w:numFmt w:val="bullet"/>
      <w:lvlText w:val="•"/>
      <w:lvlJc w:val="left"/>
      <w:pPr>
        <w:ind w:left="2516" w:hanging="141"/>
      </w:pPr>
      <w:rPr>
        <w:lang w:val="ru-RU" w:eastAsia="ru-RU" w:bidi="ru-RU"/>
      </w:rPr>
    </w:lvl>
    <w:lvl w:ilvl="3" w:tplc="2E58311A">
      <w:numFmt w:val="bullet"/>
      <w:lvlText w:val="•"/>
      <w:lvlJc w:val="left"/>
      <w:pPr>
        <w:ind w:left="3505" w:hanging="141"/>
      </w:pPr>
      <w:rPr>
        <w:lang w:val="ru-RU" w:eastAsia="ru-RU" w:bidi="ru-RU"/>
      </w:rPr>
    </w:lvl>
    <w:lvl w:ilvl="4" w:tplc="FB0216F2">
      <w:numFmt w:val="bullet"/>
      <w:lvlText w:val="•"/>
      <w:lvlJc w:val="left"/>
      <w:pPr>
        <w:ind w:left="4493" w:hanging="141"/>
      </w:pPr>
      <w:rPr>
        <w:lang w:val="ru-RU" w:eastAsia="ru-RU" w:bidi="ru-RU"/>
      </w:rPr>
    </w:lvl>
    <w:lvl w:ilvl="5" w:tplc="BFD4DFC8">
      <w:numFmt w:val="bullet"/>
      <w:lvlText w:val="•"/>
      <w:lvlJc w:val="left"/>
      <w:pPr>
        <w:ind w:left="5482" w:hanging="141"/>
      </w:pPr>
      <w:rPr>
        <w:lang w:val="ru-RU" w:eastAsia="ru-RU" w:bidi="ru-RU"/>
      </w:rPr>
    </w:lvl>
    <w:lvl w:ilvl="6" w:tplc="85EAD1AC">
      <w:numFmt w:val="bullet"/>
      <w:lvlText w:val="•"/>
      <w:lvlJc w:val="left"/>
      <w:pPr>
        <w:ind w:left="6470" w:hanging="141"/>
      </w:pPr>
      <w:rPr>
        <w:lang w:val="ru-RU" w:eastAsia="ru-RU" w:bidi="ru-RU"/>
      </w:rPr>
    </w:lvl>
    <w:lvl w:ilvl="7" w:tplc="54BAEBB0">
      <w:numFmt w:val="bullet"/>
      <w:lvlText w:val="•"/>
      <w:lvlJc w:val="left"/>
      <w:pPr>
        <w:ind w:left="7459" w:hanging="141"/>
      </w:pPr>
      <w:rPr>
        <w:lang w:val="ru-RU" w:eastAsia="ru-RU" w:bidi="ru-RU"/>
      </w:rPr>
    </w:lvl>
    <w:lvl w:ilvl="8" w:tplc="48E4D3EE">
      <w:numFmt w:val="bullet"/>
      <w:lvlText w:val="•"/>
      <w:lvlJc w:val="left"/>
      <w:pPr>
        <w:ind w:left="8447" w:hanging="141"/>
      </w:pPr>
      <w:rPr>
        <w:lang w:val="ru-RU" w:eastAsia="ru-RU" w:bidi="ru-RU"/>
      </w:rPr>
    </w:lvl>
  </w:abstractNum>
  <w:abstractNum w:abstractNumId="3">
    <w:nsid w:val="71896953"/>
    <w:multiLevelType w:val="multilevel"/>
    <w:tmpl w:val="6AF6E958"/>
    <w:lvl w:ilvl="0">
      <w:start w:val="1"/>
      <w:numFmt w:val="decimal"/>
      <w:lvlText w:val="%1."/>
      <w:lvlJc w:val="left"/>
      <w:pPr>
        <w:ind w:left="1237" w:hanging="704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77" w:hanging="561"/>
      </w:pPr>
      <w:rPr>
        <w:rFonts w:ascii="Times New Roman" w:eastAsia="Times New Roman" w:hAnsi="Times New Roman" w:cs="Times New Roman" w:hint="default"/>
        <w:spacing w:val="-1"/>
        <w:w w:val="100"/>
        <w:sz w:val="32"/>
        <w:szCs w:val="32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3916" w:hanging="34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3">
      <w:start w:val="1"/>
      <w:numFmt w:val="decimal"/>
      <w:lvlText w:val="%3.%4."/>
      <w:lvlJc w:val="left"/>
      <w:pPr>
        <w:ind w:left="4390" w:hanging="49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4">
      <w:numFmt w:val="bullet"/>
      <w:lvlText w:val="•"/>
      <w:lvlJc w:val="left"/>
      <w:pPr>
        <w:ind w:left="3920" w:hanging="490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4000" w:hanging="490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4400" w:hanging="490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5906" w:hanging="490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7412" w:hanging="490"/>
      </w:pPr>
      <w:rPr>
        <w:lang w:val="ru-RU" w:eastAsia="ru-RU" w:bidi="ru-RU"/>
      </w:rPr>
    </w:lvl>
  </w:abstractNum>
  <w:abstractNum w:abstractNumId="4">
    <w:nsid w:val="7F775DA1"/>
    <w:multiLevelType w:val="multilevel"/>
    <w:tmpl w:val="6C6CE562"/>
    <w:lvl w:ilvl="0">
      <w:start w:val="3"/>
      <w:numFmt w:val="decimal"/>
      <w:lvlText w:val="%1"/>
      <w:lvlJc w:val="left"/>
      <w:pPr>
        <w:ind w:left="3531" w:hanging="490"/>
      </w:pPr>
      <w:rPr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531" w:hanging="49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916" w:hanging="490"/>
      </w:pPr>
      <w:rPr>
        <w:lang w:val="ru-RU" w:eastAsia="ru-RU" w:bidi="ru-RU"/>
      </w:rPr>
    </w:lvl>
    <w:lvl w:ilvl="3">
      <w:numFmt w:val="bullet"/>
      <w:lvlText w:val="•"/>
      <w:lvlJc w:val="left"/>
      <w:pPr>
        <w:ind w:left="5605" w:hanging="490"/>
      </w:pPr>
      <w:rPr>
        <w:lang w:val="ru-RU" w:eastAsia="ru-RU" w:bidi="ru-RU"/>
      </w:rPr>
    </w:lvl>
    <w:lvl w:ilvl="4">
      <w:numFmt w:val="bullet"/>
      <w:lvlText w:val="•"/>
      <w:lvlJc w:val="left"/>
      <w:pPr>
        <w:ind w:left="6293" w:hanging="490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6982" w:hanging="490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7670" w:hanging="490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8359" w:hanging="490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9047" w:hanging="490"/>
      </w:pPr>
      <w:rPr>
        <w:lang w:val="ru-RU" w:eastAsia="ru-RU" w:bidi="ru-RU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2">
    <w:abstractNumId w:val="4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</w:num>
  <w:num w:numId="4">
    <w:abstractNumId w:val="1"/>
    <w:lvlOverride w:ilvl="0">
      <w:startOverride w:val="18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022"/>
    <w:rsid w:val="00315C2D"/>
    <w:rsid w:val="00A14FD7"/>
    <w:rsid w:val="00A37022"/>
    <w:rsid w:val="00A63A02"/>
    <w:rsid w:val="00C22874"/>
    <w:rsid w:val="00C56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6DB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6D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17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673</Words>
  <Characters>3841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2020-09-16T15:03:00Z</dcterms:created>
  <dcterms:modified xsi:type="dcterms:W3CDTF">2020-09-18T11:22:00Z</dcterms:modified>
</cp:coreProperties>
</file>